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Phelan</w:t>
      </w:r>
      <w:r xml:space="preserve">
        <w:tab wTab="150" tlc="none" cTlc="0"/>
      </w:r>
      <w:r>
        <w:t xml:space="preserve">H.B.</w:t>
      </w:r>
      <w:r xml:space="preserve">
        <w:t> </w:t>
      </w:r>
      <w:r>
        <w:t xml:space="preserve">No.</w:t>
      </w:r>
      <w:r xml:space="preserve">
        <w:t> </w:t>
      </w:r>
      <w:r>
        <w:t xml:space="preserve">366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disclosures on certain political advertising that contains altered media;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255, Election Code, is amended by adding Section 255.0015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255.0015.</w:t>
      </w:r>
      <w:r>
        <w:rPr>
          <w:u w:val="single"/>
        </w:rPr>
        <w:t xml:space="preserve"> </w:t>
      </w:r>
      <w:r>
        <w:rPr>
          <w:u w:val="single"/>
        </w:rPr>
        <w:t xml:space="preserve"> </w:t>
      </w:r>
      <w:r>
        <w:rPr>
          <w:u w:val="single"/>
        </w:rPr>
        <w:t xml:space="preserve">REQUIRED DISCLOSURE ON CERTAIN POLITICAL ADVERTISING CONTAINING ALTERED MEDIA; CRIMINAL PENALTY.  (a)  This section applies only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an officeholder, candidate, or political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makes expenditures during a reporting period that in the aggregate exceed $100 for political advertising, other than an expense to cover the basic cost of hardware, messaging software, and bandwidth;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publishes, distributes, or broadcasts political advertising described by Subsection (b) in return for consideration.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with the intent to influence an election, knowingly cause to be published, distributed, or broadcast political advertising that includes an image, audio recording, or video recording of an officeholder's or candidate's appearance, speech, or conduct that did not occur in reality, including an image, audio recording, or video recording that has been altered using generative artificial intelligence technology,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image or video recording has only been altered to change the saturation, brightness, contrast, color, or any other superficial quality of the image or video;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political advertising includes a disclosure from the person or another person on whose behalf the political advertising is published, distributed, or broadcast indicating that the image, audio recording, or video recording did not occur in reality.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shall prescribe the form of the disclosure required by Subsection (b), including the font, size, and color of the disclosure.  The commission shall ensure that the form of the disclosure is consistent with other required disclosures on political advertising.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commits an offense if the person violates this section.  An offense under this section is a Class A misdemeanor.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impose liability on any of the following persons for political advertising published, distributed, or broadcast by or at the direction of another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interactive computer service, as defined by 47 U.S.C. Section 230(f);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Internet service provider, cloud service provider, cybersecurity service provider, communication service provider, or telecommunications network;</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radio or television broadcaster, including a cable or satellite television network operator, programmer, or producer;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owner or operator of a commercial sign, as defined by Section 391.001, Transportation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